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484EA9" w:rsidRPr="00F37507" w14:paraId="6D15AC98" w14:textId="77777777" w:rsidTr="00484EA9">
        <w:trPr>
          <w:jc w:val="right"/>
        </w:trPr>
        <w:tc>
          <w:tcPr>
            <w:tcW w:w="4253" w:type="dxa"/>
            <w:vAlign w:val="center"/>
            <w:hideMark/>
          </w:tcPr>
          <w:p w14:paraId="4E494CD7" w14:textId="6857C7B0" w:rsidR="00484EA9" w:rsidRPr="00F37507" w:rsidRDefault="00484EA9" w:rsidP="00484EA9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</w:tc>
      </w:tr>
      <w:tr w:rsidR="00484EA9" w:rsidRPr="00F37507" w14:paraId="57F76A7F" w14:textId="77777777" w:rsidTr="00484EA9">
        <w:trPr>
          <w:jc w:val="right"/>
        </w:trPr>
        <w:tc>
          <w:tcPr>
            <w:tcW w:w="4253" w:type="dxa"/>
            <w:vAlign w:val="center"/>
            <w:hideMark/>
          </w:tcPr>
          <w:p w14:paraId="738B30E9" w14:textId="77777777" w:rsidR="00484EA9" w:rsidRPr="00F37507" w:rsidRDefault="00484EA9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к Особенностям ведения реестра имущества муниципального</w:t>
            </w:r>
          </w:p>
          <w:p w14:paraId="3DE057DA" w14:textId="77777777" w:rsidR="00484EA9" w:rsidRPr="00F37507" w:rsidRDefault="00484EA9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образования муниципальный округ город Горячий Ключ</w:t>
            </w:r>
          </w:p>
          <w:p w14:paraId="62970DC0" w14:textId="77777777" w:rsidR="00484EA9" w:rsidRPr="00F37507" w:rsidRDefault="00484EA9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49BD6B9E" w14:textId="77777777" w:rsidR="00484EA9" w:rsidRPr="00F37507" w:rsidRDefault="00484EA9" w:rsidP="00484EA9">
      <w:pPr>
        <w:spacing w:after="0" w:line="240" w:lineRule="auto"/>
        <w:rPr>
          <w:rFonts w:ascii="Times New Roman" w:hAnsi="Times New Roman" w:cstheme="minorBidi"/>
          <w:sz w:val="24"/>
        </w:rPr>
      </w:pPr>
    </w:p>
    <w:p w14:paraId="1317E165" w14:textId="77777777" w:rsidR="00D30F6C" w:rsidRPr="00F37507" w:rsidRDefault="00D30F6C" w:rsidP="00F8027A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8027A" w:rsidRPr="00F37507" w14:paraId="15DEB2A1" w14:textId="77777777">
        <w:tc>
          <w:tcPr>
            <w:tcW w:w="9854" w:type="dxa"/>
          </w:tcPr>
          <w:p w14:paraId="162EA0E2" w14:textId="77777777" w:rsidR="00F8027A" w:rsidRPr="00F37507" w:rsidRDefault="00F219E2" w:rsidP="00906D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37507">
              <w:rPr>
                <w:rFonts w:ascii="Times New Roman" w:hAnsi="Times New Roman"/>
                <w:b/>
                <w:sz w:val="28"/>
                <w:szCs w:val="28"/>
              </w:rPr>
              <w:t>ТРЕБОВАНИЯ</w:t>
            </w:r>
          </w:p>
        </w:tc>
      </w:tr>
      <w:tr w:rsidR="00F8027A" w:rsidRPr="00F37507" w14:paraId="396AB655" w14:textId="77777777">
        <w:tc>
          <w:tcPr>
            <w:tcW w:w="9854" w:type="dxa"/>
          </w:tcPr>
          <w:p w14:paraId="1B778AA1" w14:textId="77777777" w:rsidR="00F219E2" w:rsidRPr="00F37507" w:rsidRDefault="00F219E2" w:rsidP="00F2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7507">
              <w:rPr>
                <w:rFonts w:ascii="Times New Roman" w:hAnsi="Times New Roman"/>
                <w:b/>
                <w:sz w:val="28"/>
                <w:szCs w:val="28"/>
              </w:rPr>
              <w:t>к заполнению форм выписок из реестра имущества муниципального</w:t>
            </w:r>
          </w:p>
          <w:p w14:paraId="540E088C" w14:textId="03A79247" w:rsidR="00F8027A" w:rsidRPr="00F37507" w:rsidRDefault="00F219E2" w:rsidP="00F219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37507"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образования </w:t>
            </w:r>
            <w:r w:rsidR="00484EA9" w:rsidRPr="00F375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муниципальный округ </w:t>
            </w:r>
            <w:r w:rsidRPr="00F37507">
              <w:rPr>
                <w:rFonts w:ascii="Times New Roman" w:hAnsi="Times New Roman"/>
                <w:b/>
                <w:sz w:val="28"/>
                <w:szCs w:val="28"/>
              </w:rPr>
              <w:t>город Горячий Краснодарского края</w:t>
            </w:r>
          </w:p>
        </w:tc>
      </w:tr>
    </w:tbl>
    <w:p w14:paraId="4DE19BB1" w14:textId="77777777" w:rsidR="00310899" w:rsidRPr="00F37507" w:rsidRDefault="00310899" w:rsidP="00F219E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31EB3B5" w14:textId="35BF5A36" w:rsidR="00F219E2" w:rsidRPr="00F37507" w:rsidRDefault="00F219E2" w:rsidP="00F219E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1. Требования к заполнению форм выписок из реестра имущества муниципального образования </w:t>
      </w:r>
      <w:r w:rsidR="00484EA9" w:rsidRPr="00F37507">
        <w:rPr>
          <w:rFonts w:ascii="Times New Roman" w:hAnsi="Times New Roman"/>
          <w:sz w:val="28"/>
        </w:rPr>
        <w:t xml:space="preserve">муниципальный округ </w:t>
      </w:r>
      <w:r w:rsidRPr="00F37507">
        <w:rPr>
          <w:rFonts w:ascii="Times New Roman" w:hAnsi="Times New Roman"/>
          <w:sz w:val="28"/>
        </w:rPr>
        <w:t>город Горячий Краснодарского края (далее – Требования) устанавливают правила</w:t>
      </w:r>
      <w:r w:rsidR="00C40173" w:rsidRPr="00F37507">
        <w:rPr>
          <w:rFonts w:ascii="Times New Roman" w:hAnsi="Times New Roman"/>
          <w:sz w:val="28"/>
        </w:rPr>
        <w:t xml:space="preserve"> </w:t>
      </w:r>
      <w:r w:rsidRPr="00F37507">
        <w:rPr>
          <w:rFonts w:ascii="Times New Roman" w:hAnsi="Times New Roman"/>
          <w:sz w:val="28"/>
        </w:rPr>
        <w:t>заполнения форм выписок из реестра имущества муниципального образования город Горячий Краснодарского края (далее – Выписка).</w:t>
      </w:r>
    </w:p>
    <w:p w14:paraId="2BE121DD" w14:textId="225B40CC" w:rsidR="00F219E2" w:rsidRPr="00F37507" w:rsidRDefault="00F219E2" w:rsidP="00484EA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2. </w:t>
      </w:r>
      <w:r w:rsidR="0029526A" w:rsidRPr="00F37507">
        <w:rPr>
          <w:rFonts w:ascii="Times New Roman" w:hAnsi="Times New Roman"/>
          <w:sz w:val="28"/>
        </w:rPr>
        <w:t xml:space="preserve">Выписка, указанная в приложении </w:t>
      </w:r>
      <w:r w:rsidR="00484EA9" w:rsidRPr="00F37507">
        <w:rPr>
          <w:rFonts w:ascii="Times New Roman" w:hAnsi="Times New Roman"/>
          <w:sz w:val="28"/>
        </w:rPr>
        <w:t>3</w:t>
      </w:r>
      <w:r w:rsidR="0029526A" w:rsidRPr="00F37507">
        <w:rPr>
          <w:rFonts w:ascii="Times New Roman" w:hAnsi="Times New Roman"/>
          <w:sz w:val="28"/>
        </w:rPr>
        <w:t xml:space="preserve"> к </w:t>
      </w:r>
      <w:r w:rsidR="00484EA9" w:rsidRPr="00F37507">
        <w:rPr>
          <w:rFonts w:ascii="Times New Roman" w:hAnsi="Times New Roman"/>
          <w:sz w:val="28"/>
        </w:rPr>
        <w:t>Особенностям ведения реестра имущества муниципального образования муниципальный округ город Горячий Ключ Краснодарского края</w:t>
      </w:r>
      <w:r w:rsidR="0029526A" w:rsidRPr="00F37507">
        <w:rPr>
          <w:rFonts w:ascii="Times New Roman" w:hAnsi="Times New Roman"/>
          <w:sz w:val="28"/>
        </w:rPr>
        <w:t xml:space="preserve"> (далее – Выписка </w:t>
      </w:r>
      <w:r w:rsidR="0029526A" w:rsidRPr="00F37507">
        <w:rPr>
          <w:rFonts w:ascii="Times New Roman" w:hAnsi="Times New Roman"/>
          <w:sz w:val="28"/>
          <w:szCs w:val="28"/>
        </w:rPr>
        <w:t>по форме 1)</w:t>
      </w:r>
      <w:r w:rsidR="00E50708" w:rsidRPr="00F37507">
        <w:rPr>
          <w:rFonts w:ascii="Times New Roman" w:hAnsi="Times New Roman"/>
          <w:sz w:val="28"/>
          <w:szCs w:val="28"/>
        </w:rPr>
        <w:t>,</w:t>
      </w:r>
      <w:r w:rsidR="0029526A" w:rsidRPr="00F37507">
        <w:rPr>
          <w:rFonts w:ascii="Times New Roman" w:hAnsi="Times New Roman"/>
          <w:sz w:val="28"/>
          <w:szCs w:val="28"/>
        </w:rPr>
        <w:t xml:space="preserve"> служит для </w:t>
      </w:r>
      <w:r w:rsidR="0029526A" w:rsidRPr="00F37507">
        <w:rPr>
          <w:rFonts w:ascii="Times New Roman" w:hAnsi="Times New Roman"/>
          <w:sz w:val="28"/>
        </w:rPr>
        <w:t xml:space="preserve">предоставления информации об объекте учёта </w:t>
      </w:r>
      <w:r w:rsidR="0013138F" w:rsidRPr="00F37507">
        <w:rPr>
          <w:rFonts w:ascii="Times New Roman" w:hAnsi="Times New Roman"/>
          <w:sz w:val="28"/>
        </w:rPr>
        <w:t>Р</w:t>
      </w:r>
      <w:r w:rsidR="0029526A" w:rsidRPr="00F37507">
        <w:rPr>
          <w:rFonts w:ascii="Times New Roman" w:hAnsi="Times New Roman"/>
          <w:sz w:val="28"/>
        </w:rPr>
        <w:t>еестра юридическим и физическим лицам, за исключением случаев, установленных пунктом 3 настоящих Требований.</w:t>
      </w:r>
    </w:p>
    <w:p w14:paraId="4FAC18AC" w14:textId="28676F5C" w:rsidR="0029526A" w:rsidRPr="00F37507" w:rsidRDefault="0029526A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3. Выписка, указанная в приложении 2 к </w:t>
      </w:r>
      <w:r w:rsidR="00484EA9" w:rsidRPr="00F37507">
        <w:rPr>
          <w:rFonts w:ascii="Times New Roman" w:hAnsi="Times New Roman"/>
          <w:sz w:val="28"/>
        </w:rPr>
        <w:t>Особенностям ведения реестра имущества муниципального образования муниципальный округ город Горячий Ключ Краснодарского края</w:t>
      </w:r>
      <w:r w:rsidRPr="00F37507">
        <w:rPr>
          <w:rFonts w:ascii="Times New Roman" w:hAnsi="Times New Roman"/>
          <w:sz w:val="28"/>
        </w:rPr>
        <w:t xml:space="preserve"> (далее – Выписка </w:t>
      </w:r>
      <w:r w:rsidRPr="00F37507">
        <w:rPr>
          <w:rFonts w:ascii="Times New Roman" w:hAnsi="Times New Roman"/>
          <w:sz w:val="28"/>
          <w:szCs w:val="28"/>
        </w:rPr>
        <w:t>по форме 2)</w:t>
      </w:r>
      <w:r w:rsidR="00E50708" w:rsidRPr="00F37507">
        <w:rPr>
          <w:rFonts w:ascii="Times New Roman" w:hAnsi="Times New Roman"/>
          <w:sz w:val="28"/>
          <w:szCs w:val="28"/>
        </w:rPr>
        <w:t>,</w:t>
      </w:r>
      <w:r w:rsidRPr="00F37507">
        <w:rPr>
          <w:rFonts w:ascii="Times New Roman" w:hAnsi="Times New Roman"/>
          <w:sz w:val="28"/>
          <w:szCs w:val="28"/>
        </w:rPr>
        <w:t xml:space="preserve"> служит для </w:t>
      </w:r>
      <w:r w:rsidRPr="00F37507">
        <w:rPr>
          <w:rFonts w:ascii="Times New Roman" w:hAnsi="Times New Roman"/>
          <w:sz w:val="28"/>
        </w:rPr>
        <w:t>предоставления информации об объектах учёта Реестра (в совокупности не менее 3 штук</w:t>
      </w:r>
      <w:r w:rsidR="00317E19" w:rsidRPr="00F37507">
        <w:rPr>
          <w:rFonts w:ascii="Times New Roman" w:hAnsi="Times New Roman"/>
          <w:sz w:val="28"/>
        </w:rPr>
        <w:t>, за исключениям объектов учёта, включённых в раздел 3 Реестра</w:t>
      </w:r>
      <w:r w:rsidRPr="00F37507">
        <w:rPr>
          <w:rFonts w:ascii="Times New Roman" w:hAnsi="Times New Roman"/>
          <w:sz w:val="28"/>
        </w:rPr>
        <w:t>) федеральным, региональным органам и органам местного самоуп</w:t>
      </w:r>
      <w:r w:rsidR="00C40173" w:rsidRPr="00F37507">
        <w:rPr>
          <w:rFonts w:ascii="Times New Roman" w:hAnsi="Times New Roman"/>
          <w:sz w:val="28"/>
        </w:rPr>
        <w:t>р</w:t>
      </w:r>
      <w:r w:rsidRPr="00F37507">
        <w:rPr>
          <w:rFonts w:ascii="Times New Roman" w:hAnsi="Times New Roman"/>
          <w:sz w:val="28"/>
        </w:rPr>
        <w:t>авления (в том числе и органам местных администраций, наделённых правами юридического лица)</w:t>
      </w:r>
      <w:r w:rsidR="00317E19" w:rsidRPr="00F37507">
        <w:rPr>
          <w:rFonts w:ascii="Times New Roman" w:hAnsi="Times New Roman"/>
          <w:sz w:val="28"/>
        </w:rPr>
        <w:t>, закреплённым за одним правообладателем (балансодержателем)</w:t>
      </w:r>
      <w:r w:rsidR="00D161B5" w:rsidRPr="00F37507">
        <w:rPr>
          <w:rFonts w:ascii="Times New Roman" w:hAnsi="Times New Roman"/>
          <w:sz w:val="28"/>
        </w:rPr>
        <w:t>.</w:t>
      </w:r>
    </w:p>
    <w:p w14:paraId="183B5A80" w14:textId="77777777" w:rsidR="00D161B5" w:rsidRPr="00F37507" w:rsidRDefault="00556B4A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4.</w:t>
      </w:r>
      <w:r w:rsidR="00D161B5" w:rsidRPr="00F37507">
        <w:rPr>
          <w:rFonts w:ascii="Times New Roman" w:hAnsi="Times New Roman"/>
          <w:sz w:val="28"/>
        </w:rPr>
        <w:t xml:space="preserve"> Выписки в обязательном порядке должны содержать:</w:t>
      </w:r>
    </w:p>
    <w:p w14:paraId="76E36C09" w14:textId="3B1749FB" w:rsidR="00D5337C" w:rsidRPr="00F37507" w:rsidRDefault="00D161B5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1) </w:t>
      </w:r>
      <w:r w:rsidR="00D5337C" w:rsidRPr="00F37507">
        <w:rPr>
          <w:rFonts w:ascii="Times New Roman" w:hAnsi="Times New Roman"/>
          <w:sz w:val="28"/>
        </w:rPr>
        <w:t>наимен</w:t>
      </w:r>
      <w:r w:rsidR="009D3135" w:rsidRPr="00F37507">
        <w:rPr>
          <w:rFonts w:ascii="Times New Roman" w:hAnsi="Times New Roman"/>
          <w:sz w:val="28"/>
        </w:rPr>
        <w:t>о</w:t>
      </w:r>
      <w:r w:rsidR="00D5337C" w:rsidRPr="00F37507">
        <w:rPr>
          <w:rFonts w:ascii="Times New Roman" w:hAnsi="Times New Roman"/>
          <w:sz w:val="28"/>
        </w:rPr>
        <w:t>вание объекта учёта;</w:t>
      </w:r>
    </w:p>
    <w:p w14:paraId="380B9613" w14:textId="6FCED352" w:rsidR="00D161B5" w:rsidRPr="00F37507" w:rsidRDefault="00D5337C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2) </w:t>
      </w:r>
      <w:r w:rsidR="00484EA9" w:rsidRPr="00F37507">
        <w:rPr>
          <w:rFonts w:ascii="Times New Roman" w:hAnsi="Times New Roman"/>
          <w:sz w:val="28"/>
        </w:rPr>
        <w:t>реестровый номер</w:t>
      </w:r>
      <w:r w:rsidRPr="00F37507">
        <w:rPr>
          <w:rFonts w:ascii="Times New Roman" w:hAnsi="Times New Roman"/>
          <w:sz w:val="28"/>
        </w:rPr>
        <w:t xml:space="preserve"> и дата его присвоения</w:t>
      </w:r>
      <w:r w:rsidR="00484EA9" w:rsidRPr="00F37507">
        <w:rPr>
          <w:rFonts w:ascii="Times New Roman" w:hAnsi="Times New Roman"/>
          <w:sz w:val="28"/>
        </w:rPr>
        <w:t>;</w:t>
      </w:r>
    </w:p>
    <w:p w14:paraId="10D02A0C" w14:textId="196EA525" w:rsidR="009D3135" w:rsidRPr="00F37507" w:rsidRDefault="009D3135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3) наименование правообладателя с указанием инвентарного номера и вещного права или указание, что объект учёта составляет казну </w:t>
      </w:r>
      <w:r w:rsidR="002674EF" w:rsidRPr="00F37507">
        <w:rPr>
          <w:rFonts w:ascii="Times New Roman" w:hAnsi="Times New Roman"/>
          <w:sz w:val="28"/>
        </w:rPr>
        <w:t xml:space="preserve">муниципального образования муниципальный округ город Горячий Краснодарского края (далее – </w:t>
      </w:r>
      <w:r w:rsidR="00C27A66" w:rsidRPr="00F37507">
        <w:rPr>
          <w:rFonts w:ascii="Times New Roman" w:hAnsi="Times New Roman"/>
          <w:sz w:val="28"/>
        </w:rPr>
        <w:t>муниципальная к</w:t>
      </w:r>
      <w:r w:rsidR="002674EF" w:rsidRPr="00F37507">
        <w:rPr>
          <w:rFonts w:ascii="Times New Roman" w:hAnsi="Times New Roman"/>
          <w:sz w:val="28"/>
        </w:rPr>
        <w:t>азна)</w:t>
      </w:r>
      <w:r w:rsidRPr="00F37507">
        <w:rPr>
          <w:rFonts w:ascii="Times New Roman" w:hAnsi="Times New Roman"/>
          <w:sz w:val="28"/>
        </w:rPr>
        <w:t>;</w:t>
      </w:r>
    </w:p>
    <w:p w14:paraId="4E48BDA4" w14:textId="2DD43876" w:rsidR="009D3135" w:rsidRPr="00F37507" w:rsidRDefault="009D3135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4) вид </w:t>
      </w:r>
      <w:proofErr w:type="spellStart"/>
      <w:r w:rsidRPr="00F37507">
        <w:rPr>
          <w:rFonts w:ascii="Times New Roman" w:hAnsi="Times New Roman"/>
          <w:sz w:val="28"/>
        </w:rPr>
        <w:t>обремения</w:t>
      </w:r>
      <w:proofErr w:type="spellEnd"/>
      <w:r w:rsidRPr="00F37507">
        <w:rPr>
          <w:rFonts w:ascii="Times New Roman" w:hAnsi="Times New Roman"/>
          <w:sz w:val="28"/>
        </w:rPr>
        <w:t xml:space="preserve"> объекта учёта; </w:t>
      </w:r>
    </w:p>
    <w:p w14:paraId="4186DDA2" w14:textId="495E9241" w:rsidR="003855EC" w:rsidRPr="00F37507" w:rsidRDefault="003855EC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5) </w:t>
      </w:r>
      <w:r w:rsidR="00751087" w:rsidRPr="00F37507">
        <w:rPr>
          <w:rFonts w:ascii="Times New Roman" w:hAnsi="Times New Roman"/>
          <w:sz w:val="28"/>
        </w:rPr>
        <w:t xml:space="preserve">балансовая </w:t>
      </w:r>
      <w:r w:rsidRPr="00F37507">
        <w:rPr>
          <w:rFonts w:ascii="Times New Roman" w:hAnsi="Times New Roman"/>
          <w:sz w:val="28"/>
        </w:rPr>
        <w:t>стоимость объекта учёта;</w:t>
      </w:r>
    </w:p>
    <w:p w14:paraId="646E0426" w14:textId="56A94CDD" w:rsidR="00D5337C" w:rsidRPr="00F37507" w:rsidRDefault="00A67541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6)</w:t>
      </w:r>
      <w:r w:rsidR="00D161B5" w:rsidRPr="00F37507">
        <w:rPr>
          <w:rFonts w:ascii="Times New Roman" w:hAnsi="Times New Roman"/>
          <w:sz w:val="28"/>
        </w:rPr>
        <w:t xml:space="preserve"> </w:t>
      </w:r>
      <w:r w:rsidR="00D5337C" w:rsidRPr="00F37507">
        <w:rPr>
          <w:rFonts w:ascii="Times New Roman" w:hAnsi="Times New Roman"/>
          <w:sz w:val="28"/>
        </w:rPr>
        <w:t>в отношении объектов недвижимости:</w:t>
      </w:r>
    </w:p>
    <w:p w14:paraId="2F892BDF" w14:textId="0E84B4CF" w:rsidR="001475F2" w:rsidRPr="00F37507" w:rsidRDefault="00D5337C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а) кадастровый номер и дата его присвоения,</w:t>
      </w:r>
    </w:p>
    <w:p w14:paraId="0EA89F82" w14:textId="3DAF0B30" w:rsidR="00D5337C" w:rsidRPr="00F37507" w:rsidRDefault="00D5337C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б</w:t>
      </w:r>
      <w:r w:rsidR="001475F2" w:rsidRPr="00F37507">
        <w:rPr>
          <w:rFonts w:ascii="Times New Roman" w:hAnsi="Times New Roman"/>
          <w:sz w:val="28"/>
        </w:rPr>
        <w:t xml:space="preserve">) </w:t>
      </w:r>
      <w:r w:rsidRPr="00F37507">
        <w:rPr>
          <w:rFonts w:ascii="Times New Roman" w:hAnsi="Times New Roman"/>
          <w:sz w:val="28"/>
        </w:rPr>
        <w:t>адрес либо местоположение объекта учёта,</w:t>
      </w:r>
    </w:p>
    <w:p w14:paraId="7F4D0853" w14:textId="04AA822C" w:rsidR="00D5337C" w:rsidRPr="00F37507" w:rsidRDefault="00D5337C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в) наимен</w:t>
      </w:r>
      <w:r w:rsidR="009D3135" w:rsidRPr="00F37507">
        <w:rPr>
          <w:rFonts w:ascii="Times New Roman" w:hAnsi="Times New Roman"/>
          <w:sz w:val="28"/>
        </w:rPr>
        <w:t>о</w:t>
      </w:r>
      <w:r w:rsidRPr="00F37507">
        <w:rPr>
          <w:rFonts w:ascii="Times New Roman" w:hAnsi="Times New Roman"/>
          <w:sz w:val="28"/>
        </w:rPr>
        <w:t xml:space="preserve">вание и значение основных характеристик объекта учёта (тип, назначение, площадь </w:t>
      </w:r>
      <w:r w:rsidR="009D3135" w:rsidRPr="00F37507">
        <w:rPr>
          <w:rFonts w:ascii="Times New Roman" w:hAnsi="Times New Roman"/>
          <w:sz w:val="28"/>
        </w:rPr>
        <w:t xml:space="preserve">или площадь застройки </w:t>
      </w:r>
      <w:r w:rsidRPr="00F37507">
        <w:rPr>
          <w:rFonts w:ascii="Times New Roman" w:hAnsi="Times New Roman"/>
          <w:sz w:val="28"/>
        </w:rPr>
        <w:t xml:space="preserve">и (или) протяжённость </w:t>
      </w:r>
      <w:r w:rsidR="009D3135" w:rsidRPr="00F37507">
        <w:rPr>
          <w:rFonts w:ascii="Times New Roman" w:hAnsi="Times New Roman"/>
          <w:sz w:val="28"/>
        </w:rPr>
        <w:t xml:space="preserve">и (или) глубина </w:t>
      </w:r>
      <w:r w:rsidRPr="00F37507">
        <w:rPr>
          <w:rFonts w:ascii="Times New Roman" w:hAnsi="Times New Roman"/>
          <w:sz w:val="28"/>
        </w:rPr>
        <w:t>и (или) объём</w:t>
      </w:r>
      <w:r w:rsidR="009D3135" w:rsidRPr="00F37507">
        <w:rPr>
          <w:rFonts w:ascii="Times New Roman" w:hAnsi="Times New Roman"/>
          <w:sz w:val="28"/>
        </w:rPr>
        <w:t>, этажность (подземная этажность) или тип и номер этажа),</w:t>
      </w:r>
    </w:p>
    <w:p w14:paraId="1C508F0E" w14:textId="44F06F32" w:rsidR="009D3135" w:rsidRPr="00F37507" w:rsidRDefault="009D3135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lastRenderedPageBreak/>
        <w:t>г) категория земель и вид разрешённого использования (для земельного участка),</w:t>
      </w:r>
    </w:p>
    <w:p w14:paraId="2C03D083" w14:textId="461BE03A" w:rsidR="009D3135" w:rsidRPr="00F37507" w:rsidRDefault="009D3135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д) </w:t>
      </w:r>
      <w:r w:rsidR="003855EC" w:rsidRPr="00F37507">
        <w:rPr>
          <w:rFonts w:ascii="Times New Roman" w:hAnsi="Times New Roman"/>
          <w:sz w:val="28"/>
        </w:rPr>
        <w:t>состав единого недвижимого комплекса, в том числе сведения о земельном участке, в пределах которого расположены составляющие объекта учёта</w:t>
      </w:r>
      <w:r w:rsidR="00D530DE" w:rsidRPr="00F37507">
        <w:rPr>
          <w:rFonts w:ascii="Times New Roman" w:hAnsi="Times New Roman"/>
          <w:sz w:val="28"/>
        </w:rPr>
        <w:t>;</w:t>
      </w:r>
    </w:p>
    <w:p w14:paraId="4F043E79" w14:textId="7D5AAE1A" w:rsidR="00D530DE" w:rsidRPr="00F37507" w:rsidRDefault="00A67541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7</w:t>
      </w:r>
      <w:r w:rsidR="00D530DE" w:rsidRPr="00F37507">
        <w:rPr>
          <w:rFonts w:ascii="Times New Roman" w:hAnsi="Times New Roman"/>
          <w:sz w:val="28"/>
        </w:rPr>
        <w:t>) в отношении движимого имущества:</w:t>
      </w:r>
    </w:p>
    <w:p w14:paraId="4D1539B8" w14:textId="406DE536" w:rsidR="00D530DE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а) идентификационный номер (VIN) (для транспортных средств),</w:t>
      </w:r>
    </w:p>
    <w:p w14:paraId="2D6CE379" w14:textId="70731096" w:rsidR="00D530DE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б) заводской номер машины, идентификационный номер (VIN или PIN) (для самоходных машин),</w:t>
      </w:r>
    </w:p>
    <w:p w14:paraId="78D1A176" w14:textId="2DE40471" w:rsidR="00D530DE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в) </w:t>
      </w:r>
      <w:r w:rsidR="002674EF" w:rsidRPr="00F37507">
        <w:rPr>
          <w:rFonts w:ascii="Times New Roman" w:hAnsi="Times New Roman"/>
          <w:sz w:val="28"/>
        </w:rPr>
        <w:t>государственный регистрационный знак либо регистрационный знак,</w:t>
      </w:r>
    </w:p>
    <w:p w14:paraId="497BF643" w14:textId="522BFEB8" w:rsidR="00D530DE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г) наименование и значение прочих (не стоимостных) характеристик</w:t>
      </w:r>
      <w:r w:rsidR="002674EF" w:rsidRPr="00F37507">
        <w:rPr>
          <w:rFonts w:ascii="Times New Roman" w:hAnsi="Times New Roman"/>
          <w:sz w:val="28"/>
        </w:rPr>
        <w:t>.</w:t>
      </w:r>
    </w:p>
    <w:p w14:paraId="0569352A" w14:textId="77777777" w:rsidR="00556B4A" w:rsidRPr="00F37507" w:rsidRDefault="00556B4A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5. </w:t>
      </w:r>
      <w:r w:rsidR="00E956E9" w:rsidRPr="00F37507">
        <w:rPr>
          <w:rFonts w:ascii="Times New Roman" w:hAnsi="Times New Roman"/>
          <w:sz w:val="28"/>
        </w:rPr>
        <w:t xml:space="preserve">Дополнительно в Выписках </w:t>
      </w:r>
      <w:r w:rsidR="004F77C2" w:rsidRPr="00F37507">
        <w:rPr>
          <w:rFonts w:ascii="Times New Roman" w:hAnsi="Times New Roman"/>
          <w:sz w:val="28"/>
        </w:rPr>
        <w:t>могут указываться:</w:t>
      </w:r>
    </w:p>
    <w:p w14:paraId="30294222" w14:textId="6E5ADD82" w:rsidR="004F77C2" w:rsidRPr="00F37507" w:rsidRDefault="004F77C2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1) </w:t>
      </w:r>
      <w:r w:rsidR="007970A7" w:rsidRPr="00F37507">
        <w:rPr>
          <w:rFonts w:ascii="Times New Roman" w:hAnsi="Times New Roman"/>
          <w:sz w:val="28"/>
        </w:rPr>
        <w:t>характеристики объекта учёта, за исключением характеристик, указанных в пункте 4 на</w:t>
      </w:r>
      <w:r w:rsidR="007612E0" w:rsidRPr="00F37507">
        <w:rPr>
          <w:rFonts w:ascii="Times New Roman" w:hAnsi="Times New Roman"/>
          <w:sz w:val="28"/>
        </w:rPr>
        <w:t>с</w:t>
      </w:r>
      <w:r w:rsidR="007970A7" w:rsidRPr="00F37507">
        <w:rPr>
          <w:rFonts w:ascii="Times New Roman" w:hAnsi="Times New Roman"/>
          <w:sz w:val="28"/>
        </w:rPr>
        <w:t>тоящих Требований, включённые в государственный кадастр недвижимости (для объектов недвижимости) и техническом паспорте</w:t>
      </w:r>
      <w:r w:rsidR="003855EC" w:rsidRPr="00F37507">
        <w:rPr>
          <w:rFonts w:ascii="Times New Roman" w:hAnsi="Times New Roman"/>
          <w:sz w:val="28"/>
        </w:rPr>
        <w:t>;</w:t>
      </w:r>
    </w:p>
    <w:p w14:paraId="39DADCD5" w14:textId="6FEF22F6" w:rsidR="007970A7" w:rsidRPr="00F37507" w:rsidRDefault="007970A7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2) </w:t>
      </w:r>
      <w:r w:rsidR="00E37AA4" w:rsidRPr="00F37507">
        <w:rPr>
          <w:rFonts w:ascii="Times New Roman" w:hAnsi="Times New Roman"/>
          <w:sz w:val="28"/>
        </w:rPr>
        <w:t>инвентарный номер</w:t>
      </w:r>
      <w:r w:rsidR="003855EC" w:rsidRPr="00F37507">
        <w:rPr>
          <w:rFonts w:ascii="Times New Roman" w:hAnsi="Times New Roman"/>
          <w:sz w:val="28"/>
        </w:rPr>
        <w:t xml:space="preserve"> (номер технического паспорта, изготовленного органом технической инвентаризации)</w:t>
      </w:r>
      <w:r w:rsidR="00E37AA4" w:rsidRPr="00F37507">
        <w:rPr>
          <w:rFonts w:ascii="Times New Roman" w:hAnsi="Times New Roman"/>
          <w:sz w:val="28"/>
        </w:rPr>
        <w:t xml:space="preserve">, литер объекта учёта </w:t>
      </w:r>
      <w:r w:rsidR="00362058" w:rsidRPr="00F37507">
        <w:rPr>
          <w:rFonts w:ascii="Times New Roman" w:hAnsi="Times New Roman"/>
          <w:sz w:val="28"/>
        </w:rPr>
        <w:t xml:space="preserve">(для </w:t>
      </w:r>
      <w:r w:rsidR="003855EC" w:rsidRPr="00F37507">
        <w:rPr>
          <w:rFonts w:ascii="Times New Roman" w:hAnsi="Times New Roman"/>
          <w:sz w:val="28"/>
        </w:rPr>
        <w:t>объектов недвижимости</w:t>
      </w:r>
      <w:r w:rsidR="00362058" w:rsidRPr="00F37507">
        <w:rPr>
          <w:rFonts w:ascii="Times New Roman" w:hAnsi="Times New Roman"/>
          <w:sz w:val="28"/>
        </w:rPr>
        <w:t>)</w:t>
      </w:r>
      <w:r w:rsidR="003855EC" w:rsidRPr="00F37507">
        <w:rPr>
          <w:rFonts w:ascii="Times New Roman" w:hAnsi="Times New Roman"/>
          <w:sz w:val="28"/>
        </w:rPr>
        <w:t>;</w:t>
      </w:r>
    </w:p>
    <w:p w14:paraId="1C569FFD" w14:textId="4E4EA430" w:rsidR="00362058" w:rsidRPr="00F37507" w:rsidRDefault="00362058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3) состав объекта учёта (для объектов недв</w:t>
      </w:r>
      <w:r w:rsidR="00E50708" w:rsidRPr="00F37507">
        <w:rPr>
          <w:rFonts w:ascii="Times New Roman" w:hAnsi="Times New Roman"/>
          <w:sz w:val="28"/>
        </w:rPr>
        <w:t>и</w:t>
      </w:r>
      <w:r w:rsidRPr="00F37507">
        <w:rPr>
          <w:rFonts w:ascii="Times New Roman" w:hAnsi="Times New Roman"/>
          <w:sz w:val="28"/>
        </w:rPr>
        <w:t xml:space="preserve">жимости </w:t>
      </w:r>
      <w:r w:rsidR="00B52F6A" w:rsidRPr="00F37507">
        <w:rPr>
          <w:rFonts w:ascii="Times New Roman" w:hAnsi="Times New Roman"/>
          <w:sz w:val="28"/>
        </w:rPr>
        <w:t>–</w:t>
      </w:r>
      <w:r w:rsidRPr="00F37507">
        <w:rPr>
          <w:rFonts w:ascii="Times New Roman" w:hAnsi="Times New Roman"/>
          <w:sz w:val="28"/>
        </w:rPr>
        <w:t xml:space="preserve"> </w:t>
      </w:r>
      <w:r w:rsidR="00B52F6A" w:rsidRPr="00F37507">
        <w:rPr>
          <w:rFonts w:ascii="Times New Roman" w:hAnsi="Times New Roman"/>
          <w:sz w:val="28"/>
        </w:rPr>
        <w:t xml:space="preserve">единого землепользования, </w:t>
      </w:r>
      <w:r w:rsidRPr="00F37507">
        <w:rPr>
          <w:rFonts w:ascii="Times New Roman" w:hAnsi="Times New Roman"/>
          <w:sz w:val="28"/>
        </w:rPr>
        <w:t>сооружений)</w:t>
      </w:r>
      <w:r w:rsidR="003855EC" w:rsidRPr="00F37507">
        <w:rPr>
          <w:rFonts w:ascii="Times New Roman" w:hAnsi="Times New Roman"/>
          <w:sz w:val="28"/>
        </w:rPr>
        <w:t>;</w:t>
      </w:r>
    </w:p>
    <w:p w14:paraId="424460C3" w14:textId="7E48D42E" w:rsidR="00362058" w:rsidRPr="00F37507" w:rsidRDefault="00362058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4) развёрнутые сведения о земельном(</w:t>
      </w:r>
      <w:proofErr w:type="spellStart"/>
      <w:r w:rsidRPr="00F37507">
        <w:rPr>
          <w:rFonts w:ascii="Times New Roman" w:hAnsi="Times New Roman"/>
          <w:sz w:val="28"/>
        </w:rPr>
        <w:t>ых</w:t>
      </w:r>
      <w:proofErr w:type="spellEnd"/>
      <w:r w:rsidRPr="00F37507">
        <w:rPr>
          <w:rFonts w:ascii="Times New Roman" w:hAnsi="Times New Roman"/>
          <w:sz w:val="28"/>
        </w:rPr>
        <w:t>) участке(ах), в пределах которого(</w:t>
      </w:r>
      <w:proofErr w:type="spellStart"/>
      <w:r w:rsidRPr="00F37507">
        <w:rPr>
          <w:rFonts w:ascii="Times New Roman" w:hAnsi="Times New Roman"/>
          <w:sz w:val="28"/>
        </w:rPr>
        <w:t>ых</w:t>
      </w:r>
      <w:proofErr w:type="spellEnd"/>
      <w:r w:rsidRPr="00F37507">
        <w:rPr>
          <w:rFonts w:ascii="Times New Roman" w:hAnsi="Times New Roman"/>
          <w:sz w:val="28"/>
        </w:rPr>
        <w:t>) расположен объект учёта (</w:t>
      </w:r>
      <w:r w:rsidR="00B52F6A" w:rsidRPr="00F37507">
        <w:rPr>
          <w:rFonts w:ascii="Times New Roman" w:hAnsi="Times New Roman"/>
          <w:sz w:val="28"/>
        </w:rPr>
        <w:t xml:space="preserve">кадастровый номер, </w:t>
      </w:r>
      <w:r w:rsidRPr="00F37507">
        <w:rPr>
          <w:rFonts w:ascii="Times New Roman" w:hAnsi="Times New Roman"/>
          <w:sz w:val="28"/>
        </w:rPr>
        <w:t>категория земель, разрешённое использование, форма собственности)</w:t>
      </w:r>
      <w:r w:rsidR="003855EC" w:rsidRPr="00F37507">
        <w:rPr>
          <w:rFonts w:ascii="Times New Roman" w:hAnsi="Times New Roman"/>
          <w:sz w:val="28"/>
        </w:rPr>
        <w:t>;</w:t>
      </w:r>
    </w:p>
    <w:p w14:paraId="5440E6FD" w14:textId="4A6B5E3D" w:rsidR="00362058" w:rsidRPr="00F37507" w:rsidRDefault="00D82BD5" w:rsidP="00B52F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5) развёрнутые сведения об ограничениях (обременениях) объекта учёта (наименование части, номер части объекта недвижимости согласно сведениям государственного кадастра недвижимости, площадь части (</w:t>
      </w:r>
      <w:proofErr w:type="spellStart"/>
      <w:r w:rsidRPr="00F37507">
        <w:rPr>
          <w:rFonts w:ascii="Times New Roman" w:hAnsi="Times New Roman"/>
          <w:sz w:val="28"/>
        </w:rPr>
        <w:t>кв.м</w:t>
      </w:r>
      <w:proofErr w:type="spellEnd"/>
      <w:r w:rsidRPr="00F37507">
        <w:rPr>
          <w:rFonts w:ascii="Times New Roman" w:hAnsi="Times New Roman"/>
          <w:sz w:val="28"/>
        </w:rPr>
        <w:t>), вид ограничения (обременения), номер регистрации ограничения (обременения) (при необходимости), дата возникновения, дата прекращения, лицо, в пользу которого установлено ограничение (обременение)</w:t>
      </w:r>
      <w:r w:rsidR="003855EC" w:rsidRPr="00F37507">
        <w:rPr>
          <w:rFonts w:ascii="Times New Roman" w:hAnsi="Times New Roman"/>
          <w:sz w:val="28"/>
        </w:rPr>
        <w:t xml:space="preserve"> (в случаях</w:t>
      </w:r>
      <w:r w:rsidR="00D530DE" w:rsidRPr="00F37507">
        <w:rPr>
          <w:rFonts w:ascii="Times New Roman" w:hAnsi="Times New Roman"/>
          <w:sz w:val="28"/>
        </w:rPr>
        <w:t>, допускаемых действующим законодательством)</w:t>
      </w:r>
      <w:r w:rsidRPr="00F37507">
        <w:rPr>
          <w:rFonts w:ascii="Times New Roman" w:hAnsi="Times New Roman"/>
          <w:sz w:val="28"/>
        </w:rPr>
        <w:t>, документы - основания ограничения (обременения))</w:t>
      </w:r>
      <w:r w:rsidR="00B52F6A" w:rsidRPr="00F37507">
        <w:rPr>
          <w:rFonts w:ascii="Times New Roman" w:hAnsi="Times New Roman"/>
          <w:sz w:val="28"/>
        </w:rPr>
        <w:t>,</w:t>
      </w:r>
    </w:p>
    <w:p w14:paraId="0B3EDB0B" w14:textId="0AFF5CFD" w:rsidR="00A67541" w:rsidRPr="00F37507" w:rsidRDefault="00A67541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6) сведения о разделе и подразделе Реестра, в которые включены сведения об объекте учёта;</w:t>
      </w:r>
    </w:p>
    <w:p w14:paraId="019F050B" w14:textId="54C15D22" w:rsidR="00751087" w:rsidRPr="00F37507" w:rsidRDefault="00751087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7) сведения об остаточной стоимости объекта учёта;</w:t>
      </w:r>
    </w:p>
    <w:p w14:paraId="58EA630E" w14:textId="1EFE6739" w:rsidR="00556B4A" w:rsidRPr="00F37507" w:rsidRDefault="00751087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8</w:t>
      </w:r>
      <w:r w:rsidR="00B52F6A" w:rsidRPr="00F37507">
        <w:rPr>
          <w:rFonts w:ascii="Times New Roman" w:hAnsi="Times New Roman"/>
          <w:sz w:val="28"/>
        </w:rPr>
        <w:t>) дополнительная информация (в зависимости о</w:t>
      </w:r>
      <w:r w:rsidR="007612E0" w:rsidRPr="00F37507">
        <w:rPr>
          <w:rFonts w:ascii="Times New Roman" w:hAnsi="Times New Roman"/>
          <w:sz w:val="28"/>
        </w:rPr>
        <w:t>т</w:t>
      </w:r>
      <w:r w:rsidR="00B52F6A" w:rsidRPr="00F37507">
        <w:rPr>
          <w:rFonts w:ascii="Times New Roman" w:hAnsi="Times New Roman"/>
          <w:sz w:val="28"/>
        </w:rPr>
        <w:t xml:space="preserve"> вида объекта учёта).</w:t>
      </w:r>
    </w:p>
    <w:p w14:paraId="690B7886" w14:textId="77777777" w:rsidR="00D82BD5" w:rsidRPr="00F37507" w:rsidRDefault="00D82BD5" w:rsidP="00D82B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В случае если ограничен (обременён) весь объект учёта в соответствующей группе сведений указываются только номер регистрации ограничения (обременения) (при необходимости), дата возникновения, дата прекращения, лицо, в пользу которого установлено ограничение (обременение), документы - основания ограничения (обременения).</w:t>
      </w:r>
    </w:p>
    <w:p w14:paraId="084B6408" w14:textId="781BA576" w:rsidR="00D82BD5" w:rsidRPr="00F37507" w:rsidRDefault="00D82BD5" w:rsidP="00D82B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Дополнительные сведения, указанные в подпунктах 4 и 5 настоящего пункта, указываются на каждый земельный участок или каждую часть отдельными пунктами в </w:t>
      </w:r>
      <w:proofErr w:type="spellStart"/>
      <w:r w:rsidRPr="00F37507">
        <w:rPr>
          <w:rFonts w:ascii="Times New Roman" w:hAnsi="Times New Roman"/>
          <w:sz w:val="28"/>
        </w:rPr>
        <w:t>соотвествующих</w:t>
      </w:r>
      <w:proofErr w:type="spellEnd"/>
      <w:r w:rsidRPr="00F37507">
        <w:rPr>
          <w:rFonts w:ascii="Times New Roman" w:hAnsi="Times New Roman"/>
          <w:sz w:val="28"/>
        </w:rPr>
        <w:t xml:space="preserve"> группах сведений.</w:t>
      </w:r>
    </w:p>
    <w:p w14:paraId="2F6C9317" w14:textId="20CD8AC1" w:rsidR="00317F12" w:rsidRPr="00F37507" w:rsidRDefault="006F79AE" w:rsidP="00F5688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6. </w:t>
      </w:r>
      <w:r w:rsidR="00F5688A" w:rsidRPr="00F37507">
        <w:rPr>
          <w:rFonts w:ascii="Times New Roman" w:hAnsi="Times New Roman"/>
          <w:sz w:val="28"/>
        </w:rPr>
        <w:t>Состав</w:t>
      </w:r>
      <w:r w:rsidR="00317F12" w:rsidRPr="00F37507">
        <w:rPr>
          <w:rFonts w:ascii="Times New Roman" w:hAnsi="Times New Roman"/>
          <w:sz w:val="28"/>
        </w:rPr>
        <w:t xml:space="preserve"> объектов учёта, включённых в подраздел 2.3 раздела 2 Реестра, учитываемых в Реестре как единый объект, </w:t>
      </w:r>
      <w:r w:rsidR="00F5688A" w:rsidRPr="00F37507">
        <w:rPr>
          <w:rFonts w:ascii="Times New Roman" w:hAnsi="Times New Roman"/>
          <w:sz w:val="28"/>
        </w:rPr>
        <w:t>оформляется в виде приложения к Выписке. В этом случае в разделе 1 выписки в первом столбце указывается «состав объекта», а во втором столбце – «согласно приложению».</w:t>
      </w:r>
    </w:p>
    <w:p w14:paraId="2AC3FCFD" w14:textId="53F1FBB5" w:rsidR="00061CF5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lastRenderedPageBreak/>
        <w:t>7</w:t>
      </w:r>
      <w:r w:rsidR="00061CF5" w:rsidRPr="00F37507">
        <w:rPr>
          <w:rFonts w:ascii="Times New Roman" w:hAnsi="Times New Roman"/>
          <w:sz w:val="28"/>
        </w:rPr>
        <w:t>. В случае формирования Выписк</w:t>
      </w:r>
      <w:r w:rsidR="00E50708" w:rsidRPr="00F37507">
        <w:rPr>
          <w:rFonts w:ascii="Times New Roman" w:hAnsi="Times New Roman"/>
          <w:sz w:val="28"/>
        </w:rPr>
        <w:t>и</w:t>
      </w:r>
      <w:r w:rsidR="00061CF5" w:rsidRPr="00F37507">
        <w:rPr>
          <w:rFonts w:ascii="Times New Roman" w:hAnsi="Times New Roman"/>
          <w:sz w:val="28"/>
        </w:rPr>
        <w:t xml:space="preserve"> по форме 1 в отношении объектов учёта, включенных </w:t>
      </w:r>
      <w:r w:rsidRPr="00F37507">
        <w:rPr>
          <w:rFonts w:ascii="Times New Roman" w:hAnsi="Times New Roman"/>
          <w:sz w:val="28"/>
        </w:rPr>
        <w:t>в подраздел 2.3 раздела 2 Реестра, учитываемых в Реестре как единый объект</w:t>
      </w:r>
      <w:r w:rsidR="00061CF5" w:rsidRPr="00F37507">
        <w:rPr>
          <w:rFonts w:ascii="Times New Roman" w:hAnsi="Times New Roman"/>
          <w:sz w:val="28"/>
        </w:rPr>
        <w:t xml:space="preserve">, в целях формирования пакета документов для решения вопроса о передаче объектов в федеральную </w:t>
      </w:r>
      <w:proofErr w:type="spellStart"/>
      <w:r w:rsidR="00061CF5" w:rsidRPr="00F37507">
        <w:rPr>
          <w:rFonts w:ascii="Times New Roman" w:hAnsi="Times New Roman"/>
          <w:sz w:val="28"/>
        </w:rPr>
        <w:t>собсвтенность</w:t>
      </w:r>
      <w:proofErr w:type="spellEnd"/>
      <w:r w:rsidR="00061CF5" w:rsidRPr="00F37507">
        <w:rPr>
          <w:rFonts w:ascii="Times New Roman" w:hAnsi="Times New Roman"/>
          <w:sz w:val="28"/>
        </w:rPr>
        <w:t xml:space="preserve"> или в собственность субъекта Российской Федерации, допускается указывать только часть сведений, касающихся объектов, подлежащих передаче.</w:t>
      </w:r>
    </w:p>
    <w:p w14:paraId="63F3095D" w14:textId="77A40DCD" w:rsidR="006F79AE" w:rsidRPr="00F37507" w:rsidRDefault="00D530DE" w:rsidP="002952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8</w:t>
      </w:r>
      <w:r w:rsidR="006F79AE" w:rsidRPr="00F37507">
        <w:rPr>
          <w:rFonts w:ascii="Times New Roman" w:hAnsi="Times New Roman"/>
          <w:sz w:val="28"/>
        </w:rPr>
        <w:t xml:space="preserve">. </w:t>
      </w:r>
      <w:r w:rsidR="003D0EB7" w:rsidRPr="00F37507">
        <w:rPr>
          <w:rFonts w:ascii="Times New Roman" w:hAnsi="Times New Roman"/>
          <w:sz w:val="28"/>
        </w:rPr>
        <w:t>Поля в Выписке по форме 2</w:t>
      </w:r>
      <w:r w:rsidR="00AF79AB" w:rsidRPr="00F37507">
        <w:rPr>
          <w:rFonts w:ascii="Times New Roman" w:hAnsi="Times New Roman"/>
          <w:sz w:val="28"/>
        </w:rPr>
        <w:t xml:space="preserve"> заполняются в соответстви</w:t>
      </w:r>
      <w:r w:rsidR="00E50708" w:rsidRPr="00F37507">
        <w:rPr>
          <w:rFonts w:ascii="Times New Roman" w:hAnsi="Times New Roman"/>
          <w:sz w:val="28"/>
        </w:rPr>
        <w:t>и</w:t>
      </w:r>
      <w:r w:rsidR="00AF79AB" w:rsidRPr="00F37507">
        <w:rPr>
          <w:rFonts w:ascii="Times New Roman" w:hAnsi="Times New Roman"/>
          <w:sz w:val="28"/>
        </w:rPr>
        <w:t xml:space="preserve"> с их наименованием с учётом следующих особенностей:</w:t>
      </w:r>
    </w:p>
    <w:p w14:paraId="7DBB3330" w14:textId="77777777" w:rsidR="00AF79AB" w:rsidRPr="00F37507" w:rsidRDefault="00AF79AB" w:rsidP="00AF79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1) в столбце 3 «Индивидуализирующие характеристики объекта учёта» в обязательном порядке содержатся сведения, указанные в пункте 4 настоящих Требований;</w:t>
      </w:r>
    </w:p>
    <w:p w14:paraId="11A7A2B0" w14:textId="77777777" w:rsidR="00AF79AB" w:rsidRPr="00F37507" w:rsidRDefault="00AF79AB" w:rsidP="00AF79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2) в столбце 3 «Индивидуализирующие характеристики объекта учёта» могут содержаться сведения, указанные в пункте 5 настоящих Требований.</w:t>
      </w:r>
    </w:p>
    <w:p w14:paraId="6719034A" w14:textId="67F38693" w:rsidR="0029526A" w:rsidRPr="00F37507" w:rsidRDefault="00D530DE" w:rsidP="00CC0D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9</w:t>
      </w:r>
      <w:r w:rsidR="00061CF5" w:rsidRPr="00F37507">
        <w:rPr>
          <w:rFonts w:ascii="Times New Roman" w:hAnsi="Times New Roman"/>
          <w:sz w:val="28"/>
        </w:rPr>
        <w:t xml:space="preserve">. В случае если объект учёта (за исключением объектов учёта, включённых в подразделы 2.1 и 2.2 раздела 2 Реестра) составляет </w:t>
      </w:r>
      <w:r w:rsidR="00C27A66" w:rsidRPr="00F37507">
        <w:rPr>
          <w:rFonts w:ascii="Times New Roman" w:hAnsi="Times New Roman"/>
          <w:sz w:val="28"/>
        </w:rPr>
        <w:t>муниципальную к</w:t>
      </w:r>
      <w:r w:rsidR="00061CF5" w:rsidRPr="00F37507">
        <w:rPr>
          <w:rFonts w:ascii="Times New Roman" w:hAnsi="Times New Roman"/>
          <w:sz w:val="28"/>
        </w:rPr>
        <w:t xml:space="preserve">азну в Выписку по форме 1 вносится строка «Объект учёта составляет </w:t>
      </w:r>
      <w:r w:rsidR="002674EF" w:rsidRPr="00F37507">
        <w:rPr>
          <w:rFonts w:ascii="Times New Roman" w:hAnsi="Times New Roman"/>
          <w:sz w:val="28"/>
        </w:rPr>
        <w:t>к</w:t>
      </w:r>
      <w:r w:rsidR="00061CF5" w:rsidRPr="00F37507">
        <w:rPr>
          <w:rFonts w:ascii="Times New Roman" w:hAnsi="Times New Roman"/>
          <w:sz w:val="28"/>
        </w:rPr>
        <w:t xml:space="preserve">азну муниципального образования </w:t>
      </w:r>
      <w:r w:rsidR="002674EF" w:rsidRPr="00F37507">
        <w:rPr>
          <w:rFonts w:ascii="Times New Roman" w:hAnsi="Times New Roman"/>
          <w:sz w:val="28"/>
        </w:rPr>
        <w:t xml:space="preserve">муниципальный округ </w:t>
      </w:r>
      <w:r w:rsidR="00061CF5" w:rsidRPr="00F37507">
        <w:rPr>
          <w:rFonts w:ascii="Times New Roman" w:hAnsi="Times New Roman"/>
          <w:sz w:val="28"/>
        </w:rPr>
        <w:t>город Горячий Краснодарского края», при этом строки, касающиеся правообладателей объектов учёта</w:t>
      </w:r>
      <w:r w:rsidR="002674EF" w:rsidRPr="00F37507">
        <w:rPr>
          <w:rFonts w:ascii="Times New Roman" w:hAnsi="Times New Roman"/>
          <w:sz w:val="28"/>
        </w:rPr>
        <w:t>,</w:t>
      </w:r>
      <w:r w:rsidR="00061CF5" w:rsidRPr="00F37507">
        <w:rPr>
          <w:rFonts w:ascii="Times New Roman" w:hAnsi="Times New Roman"/>
          <w:sz w:val="28"/>
        </w:rPr>
        <w:t xml:space="preserve"> исключаются. Аналогично данные сведения отражаются </w:t>
      </w:r>
      <w:r w:rsidR="00B562A2">
        <w:rPr>
          <w:rFonts w:ascii="Times New Roman" w:hAnsi="Times New Roman"/>
          <w:sz w:val="28"/>
        </w:rPr>
        <w:t>в</w:t>
      </w:r>
      <w:bookmarkStart w:id="0" w:name="_GoBack"/>
      <w:bookmarkEnd w:id="0"/>
      <w:r w:rsidR="00061CF5" w:rsidRPr="00F37507">
        <w:rPr>
          <w:rFonts w:ascii="Times New Roman" w:hAnsi="Times New Roman"/>
          <w:sz w:val="28"/>
        </w:rPr>
        <w:t xml:space="preserve"> Выписке по форме 2.</w:t>
      </w:r>
    </w:p>
    <w:p w14:paraId="436CDE5D" w14:textId="29A56108" w:rsidR="00061CF5" w:rsidRPr="00F37507" w:rsidRDefault="00D530DE" w:rsidP="00CC0D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10</w:t>
      </w:r>
      <w:r w:rsidR="00061CF5" w:rsidRPr="00F37507">
        <w:rPr>
          <w:rFonts w:ascii="Times New Roman" w:hAnsi="Times New Roman"/>
          <w:sz w:val="28"/>
        </w:rPr>
        <w:t>. Запись о документах-основаниях возникновения вещных прав, ограничениях (обременениях) и ограничения оборота может оформляться в виде приложения к Выписке. В этом случае в поле, где указываются документы-основания</w:t>
      </w:r>
      <w:r w:rsidR="00E50708" w:rsidRPr="00F37507">
        <w:rPr>
          <w:rFonts w:ascii="Times New Roman" w:hAnsi="Times New Roman"/>
          <w:sz w:val="28"/>
        </w:rPr>
        <w:t>,</w:t>
      </w:r>
      <w:r w:rsidR="00061CF5" w:rsidRPr="00F37507">
        <w:rPr>
          <w:rFonts w:ascii="Times New Roman" w:hAnsi="Times New Roman"/>
          <w:sz w:val="28"/>
        </w:rPr>
        <w:t xml:space="preserve"> вн</w:t>
      </w:r>
      <w:r w:rsidR="00F5688A" w:rsidRPr="00F37507">
        <w:rPr>
          <w:rFonts w:ascii="Times New Roman" w:hAnsi="Times New Roman"/>
          <w:sz w:val="28"/>
        </w:rPr>
        <w:t>о</w:t>
      </w:r>
      <w:r w:rsidR="00061CF5" w:rsidRPr="00F37507">
        <w:rPr>
          <w:rFonts w:ascii="Times New Roman" w:hAnsi="Times New Roman"/>
          <w:sz w:val="28"/>
        </w:rPr>
        <w:t>сится запись «согласно приложению</w:t>
      </w:r>
      <w:r w:rsidR="002674EF" w:rsidRPr="00F37507">
        <w:rPr>
          <w:rFonts w:ascii="Times New Roman" w:hAnsi="Times New Roman"/>
          <w:sz w:val="28"/>
        </w:rPr>
        <w:t>»</w:t>
      </w:r>
      <w:r w:rsidR="00061CF5" w:rsidRPr="00F37507">
        <w:rPr>
          <w:rFonts w:ascii="Times New Roman" w:hAnsi="Times New Roman"/>
          <w:sz w:val="28"/>
        </w:rPr>
        <w:t>.</w:t>
      </w:r>
    </w:p>
    <w:p w14:paraId="228B4FB0" w14:textId="379878AD" w:rsidR="00751087" w:rsidRPr="00F37507" w:rsidRDefault="00751087" w:rsidP="002674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 xml:space="preserve">11. Сведения об остаточной стоимости объектов учёта, а также сведения составе объектов учёта, включённых в подраздел 2.3 раздела 2 Реестра, учитываемых в Реестре как единый объект, заполняются на основании </w:t>
      </w:r>
      <w:r w:rsidR="00D94913" w:rsidRPr="00F37507">
        <w:rPr>
          <w:rFonts w:ascii="Times New Roman" w:hAnsi="Times New Roman"/>
          <w:sz w:val="28"/>
        </w:rPr>
        <w:t>на основании данных бухгалтерского и бюджетного учёта на последнюю отчётную дату.</w:t>
      </w:r>
    </w:p>
    <w:p w14:paraId="1CFAF035" w14:textId="4CBA4F91" w:rsidR="00317F12" w:rsidRPr="00F37507" w:rsidRDefault="00D530DE" w:rsidP="002674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1</w:t>
      </w:r>
      <w:r w:rsidR="00751087" w:rsidRPr="00F37507">
        <w:rPr>
          <w:rFonts w:ascii="Times New Roman" w:hAnsi="Times New Roman"/>
          <w:sz w:val="28"/>
        </w:rPr>
        <w:t>2</w:t>
      </w:r>
      <w:r w:rsidR="00CC0D81" w:rsidRPr="00F37507">
        <w:rPr>
          <w:rFonts w:ascii="Times New Roman" w:hAnsi="Times New Roman"/>
          <w:sz w:val="28"/>
        </w:rPr>
        <w:t xml:space="preserve">. </w:t>
      </w:r>
      <w:r w:rsidR="00C40173" w:rsidRPr="00F37507">
        <w:rPr>
          <w:rFonts w:ascii="Times New Roman" w:hAnsi="Times New Roman"/>
          <w:sz w:val="28"/>
        </w:rPr>
        <w:t>Выписки</w:t>
      </w:r>
      <w:r w:rsidR="00A8379A" w:rsidRPr="00F37507">
        <w:rPr>
          <w:rFonts w:ascii="Times New Roman" w:hAnsi="Times New Roman"/>
          <w:sz w:val="28"/>
        </w:rPr>
        <w:t>,</w:t>
      </w:r>
      <w:r w:rsidR="00317F12" w:rsidRPr="00F37507">
        <w:rPr>
          <w:rFonts w:ascii="Times New Roman" w:hAnsi="Times New Roman"/>
          <w:sz w:val="28"/>
        </w:rPr>
        <w:t xml:space="preserve"> являющиеся основанием для проведения государственной регистрации права муниципальной собственности, подписываются начальником отдела имущественных отношений управления</w:t>
      </w:r>
      <w:r w:rsidR="00C27A66" w:rsidRPr="00F37507">
        <w:rPr>
          <w:rFonts w:ascii="Times New Roman" w:hAnsi="Times New Roman"/>
          <w:sz w:val="28"/>
        </w:rPr>
        <w:t xml:space="preserve"> имущественных и земельных отношений администрации муниципального образования муниципальный округ город Горячий Ключ Краснодарского края</w:t>
      </w:r>
      <w:r w:rsidR="00317F12" w:rsidRPr="00F37507">
        <w:rPr>
          <w:rFonts w:ascii="Times New Roman" w:hAnsi="Times New Roman"/>
          <w:sz w:val="28"/>
        </w:rPr>
        <w:t>, либо лицом</w:t>
      </w:r>
      <w:r w:rsidR="00C27A66" w:rsidRPr="00F37507">
        <w:rPr>
          <w:rFonts w:ascii="Times New Roman" w:hAnsi="Times New Roman"/>
          <w:sz w:val="28"/>
        </w:rPr>
        <w:t xml:space="preserve"> его замещающим</w:t>
      </w:r>
      <w:r w:rsidR="00317F12" w:rsidRPr="00F37507">
        <w:rPr>
          <w:rFonts w:ascii="Times New Roman" w:hAnsi="Times New Roman"/>
          <w:sz w:val="28"/>
        </w:rPr>
        <w:t>.</w:t>
      </w:r>
    </w:p>
    <w:p w14:paraId="3F146274" w14:textId="56D2C768" w:rsidR="002674EF" w:rsidRPr="00F37507" w:rsidRDefault="00317F12" w:rsidP="009B672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Во всех остальных случаях Выписки подписываются</w:t>
      </w:r>
      <w:r w:rsidR="00C40173" w:rsidRPr="00F37507">
        <w:rPr>
          <w:rFonts w:ascii="Times New Roman" w:hAnsi="Times New Roman"/>
          <w:sz w:val="28"/>
        </w:rPr>
        <w:t xml:space="preserve"> </w:t>
      </w:r>
      <w:r w:rsidR="002674EF" w:rsidRPr="00F37507">
        <w:rPr>
          <w:rFonts w:ascii="Times New Roman" w:hAnsi="Times New Roman"/>
          <w:sz w:val="28"/>
        </w:rPr>
        <w:t xml:space="preserve">заместителем главы города Горячий Ключ, курирующего </w:t>
      </w:r>
      <w:r w:rsidR="009B6726" w:rsidRPr="00F37507">
        <w:rPr>
          <w:rFonts w:ascii="Times New Roman" w:hAnsi="Times New Roman"/>
          <w:sz w:val="28"/>
        </w:rPr>
        <w:t>вопросы земельных и имущественных отношений, муниципального земельного контроля, архитектуры и градостроительной деятельности.</w:t>
      </w:r>
    </w:p>
    <w:p w14:paraId="3C8E29E1" w14:textId="4F9E37CF" w:rsidR="00CC0D81" w:rsidRPr="00F37507" w:rsidRDefault="00CC0D81" w:rsidP="00CC0D8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7507">
        <w:rPr>
          <w:rFonts w:ascii="Times New Roman" w:hAnsi="Times New Roman"/>
          <w:sz w:val="28"/>
        </w:rPr>
        <w:t>1</w:t>
      </w:r>
      <w:r w:rsidR="00751087" w:rsidRPr="00F37507">
        <w:rPr>
          <w:rFonts w:ascii="Times New Roman" w:hAnsi="Times New Roman"/>
          <w:sz w:val="28"/>
        </w:rPr>
        <w:t>3</w:t>
      </w:r>
      <w:r w:rsidRPr="00F37507">
        <w:rPr>
          <w:rFonts w:ascii="Times New Roman" w:hAnsi="Times New Roman"/>
          <w:sz w:val="28"/>
        </w:rPr>
        <w:t>. Вып</w:t>
      </w:r>
      <w:r w:rsidR="00C40173" w:rsidRPr="00F37507">
        <w:rPr>
          <w:rFonts w:ascii="Times New Roman" w:hAnsi="Times New Roman"/>
          <w:sz w:val="28"/>
        </w:rPr>
        <w:t>и</w:t>
      </w:r>
      <w:r w:rsidRPr="00F37507">
        <w:rPr>
          <w:rFonts w:ascii="Times New Roman" w:hAnsi="Times New Roman"/>
          <w:sz w:val="28"/>
        </w:rPr>
        <w:t>ски регистрируются в соответс</w:t>
      </w:r>
      <w:r w:rsidR="00E50708" w:rsidRPr="00F37507">
        <w:rPr>
          <w:rFonts w:ascii="Times New Roman" w:hAnsi="Times New Roman"/>
          <w:sz w:val="28"/>
        </w:rPr>
        <w:t>т</w:t>
      </w:r>
      <w:r w:rsidRPr="00F37507">
        <w:rPr>
          <w:rFonts w:ascii="Times New Roman" w:hAnsi="Times New Roman"/>
          <w:sz w:val="28"/>
        </w:rPr>
        <w:t>вующем журнале.</w:t>
      </w:r>
    </w:p>
    <w:p w14:paraId="08DECB33" w14:textId="6B26806F" w:rsidR="00484EA9" w:rsidRPr="00F37507" w:rsidRDefault="00484EA9" w:rsidP="00484E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F1A1710" w14:textId="77777777" w:rsidR="00484EA9" w:rsidRPr="00F37507" w:rsidRDefault="00484EA9" w:rsidP="00484E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484EA9" w:rsidRPr="00D151D6" w14:paraId="65B5719C" w14:textId="77777777" w:rsidTr="00484EA9">
        <w:tc>
          <w:tcPr>
            <w:tcW w:w="6618" w:type="dxa"/>
            <w:hideMark/>
          </w:tcPr>
          <w:p w14:paraId="66261A26" w14:textId="77777777" w:rsidR="00484EA9" w:rsidRPr="00F37507" w:rsidRDefault="00484EA9" w:rsidP="00484EA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управления имущественных и земельных</w:t>
            </w:r>
          </w:p>
          <w:p w14:paraId="5EC60D9A" w14:textId="77777777" w:rsidR="00484EA9" w:rsidRPr="00F37507" w:rsidRDefault="00484EA9" w:rsidP="00484EA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отношений администрации муниципального</w:t>
            </w:r>
          </w:p>
          <w:p w14:paraId="6F04B910" w14:textId="77777777" w:rsidR="00484EA9" w:rsidRPr="00F37507" w:rsidRDefault="00484EA9" w:rsidP="00484EA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образования муниципальный округ город</w:t>
            </w:r>
          </w:p>
          <w:p w14:paraId="233C9F23" w14:textId="77777777" w:rsidR="00484EA9" w:rsidRPr="00F37507" w:rsidRDefault="00484EA9" w:rsidP="00484EA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67B1D329" w14:textId="77777777" w:rsidR="00484EA9" w:rsidRPr="00F37507" w:rsidRDefault="00484EA9" w:rsidP="00484E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2BFEB6BE" w14:textId="77777777" w:rsidR="00484EA9" w:rsidRPr="00D151D6" w:rsidRDefault="00484EA9" w:rsidP="00484EA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7507"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4140E747" w14:textId="77777777" w:rsidR="00061CF5" w:rsidRPr="00F5688A" w:rsidRDefault="00061CF5" w:rsidP="00F5688A">
      <w:pPr>
        <w:spacing w:after="0" w:line="240" w:lineRule="auto"/>
        <w:rPr>
          <w:rFonts w:ascii="Times New Roman" w:hAnsi="Times New Roman"/>
          <w:sz w:val="6"/>
        </w:rPr>
      </w:pPr>
    </w:p>
    <w:sectPr w:rsidR="00061CF5" w:rsidRPr="00F5688A" w:rsidSect="0031089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B4AFC" w14:textId="77777777" w:rsidR="00057FD1" w:rsidRDefault="00057FD1" w:rsidP="00906D12">
      <w:pPr>
        <w:spacing w:after="0" w:line="240" w:lineRule="auto"/>
      </w:pPr>
      <w:r>
        <w:separator/>
      </w:r>
    </w:p>
  </w:endnote>
  <w:endnote w:type="continuationSeparator" w:id="0">
    <w:p w14:paraId="3DA190D4" w14:textId="77777777" w:rsidR="00057FD1" w:rsidRDefault="00057FD1" w:rsidP="0090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3ED6C" w14:textId="77777777" w:rsidR="00057FD1" w:rsidRDefault="00057FD1" w:rsidP="00906D12">
      <w:pPr>
        <w:spacing w:after="0" w:line="240" w:lineRule="auto"/>
      </w:pPr>
      <w:r>
        <w:separator/>
      </w:r>
    </w:p>
  </w:footnote>
  <w:footnote w:type="continuationSeparator" w:id="0">
    <w:p w14:paraId="26AE27DE" w14:textId="77777777" w:rsidR="00057FD1" w:rsidRDefault="00057FD1" w:rsidP="0090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78644" w14:textId="77777777" w:rsidR="00484EA9" w:rsidRDefault="00484EA9" w:rsidP="0031089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806B40C" w14:textId="77777777" w:rsidR="00484EA9" w:rsidRDefault="00484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3F92" w14:textId="30B2371C" w:rsidR="00484EA9" w:rsidRPr="00061CF5" w:rsidRDefault="00484EA9" w:rsidP="00310899">
    <w:pPr>
      <w:pStyle w:val="a4"/>
      <w:framePr w:wrap="around" w:vAnchor="text" w:hAnchor="margin" w:xAlign="center" w:y="1"/>
      <w:rPr>
        <w:rStyle w:val="a8"/>
        <w:rFonts w:ascii="Times New Roman" w:hAnsi="Times New Roman"/>
      </w:rPr>
    </w:pPr>
    <w:r w:rsidRPr="00061CF5">
      <w:rPr>
        <w:rStyle w:val="a8"/>
        <w:rFonts w:ascii="Times New Roman" w:hAnsi="Times New Roman"/>
      </w:rPr>
      <w:fldChar w:fldCharType="begin"/>
    </w:r>
    <w:r w:rsidRPr="00061CF5">
      <w:rPr>
        <w:rStyle w:val="a8"/>
        <w:rFonts w:ascii="Times New Roman" w:hAnsi="Times New Roman"/>
      </w:rPr>
      <w:instrText xml:space="preserve">PAGE  </w:instrText>
    </w:r>
    <w:r w:rsidRPr="00061CF5">
      <w:rPr>
        <w:rStyle w:val="a8"/>
        <w:rFonts w:ascii="Times New Roman" w:hAnsi="Times New Roman"/>
      </w:rPr>
      <w:fldChar w:fldCharType="separate"/>
    </w:r>
    <w:r w:rsidR="00B562A2">
      <w:rPr>
        <w:rStyle w:val="a8"/>
        <w:rFonts w:ascii="Times New Roman" w:hAnsi="Times New Roman"/>
        <w:noProof/>
      </w:rPr>
      <w:t>2</w:t>
    </w:r>
    <w:r w:rsidRPr="00061CF5">
      <w:rPr>
        <w:rStyle w:val="a8"/>
        <w:rFonts w:ascii="Times New Roman" w:hAnsi="Times New Roman"/>
      </w:rPr>
      <w:fldChar w:fldCharType="end"/>
    </w:r>
  </w:p>
  <w:p w14:paraId="3729A226" w14:textId="77777777" w:rsidR="00484EA9" w:rsidRDefault="00484E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2C"/>
    <w:multiLevelType w:val="hybridMultilevel"/>
    <w:tmpl w:val="BFD4C684"/>
    <w:lvl w:ilvl="0" w:tplc="86504490">
      <w:start w:val="3182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1B9A"/>
    <w:multiLevelType w:val="hybridMultilevel"/>
    <w:tmpl w:val="13A4CE4C"/>
    <w:lvl w:ilvl="0" w:tplc="64569260">
      <w:start w:val="1680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7554"/>
    <w:multiLevelType w:val="hybridMultilevel"/>
    <w:tmpl w:val="3C4CC39C"/>
    <w:lvl w:ilvl="0" w:tplc="8A3A5EB8">
      <w:start w:val="3162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69FF"/>
    <w:multiLevelType w:val="hybridMultilevel"/>
    <w:tmpl w:val="2DBCE442"/>
    <w:lvl w:ilvl="0" w:tplc="AEA2EA9C">
      <w:start w:val="3776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6540D"/>
    <w:multiLevelType w:val="hybridMultilevel"/>
    <w:tmpl w:val="0DE4326C"/>
    <w:lvl w:ilvl="0" w:tplc="83A48FAA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56F7FD9"/>
    <w:multiLevelType w:val="hybridMultilevel"/>
    <w:tmpl w:val="F76A5074"/>
    <w:lvl w:ilvl="0" w:tplc="65B08312">
      <w:start w:val="3183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5160C"/>
    <w:multiLevelType w:val="hybridMultilevel"/>
    <w:tmpl w:val="CE3447C0"/>
    <w:lvl w:ilvl="0" w:tplc="ED0C9F54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8D3144C"/>
    <w:multiLevelType w:val="hybridMultilevel"/>
    <w:tmpl w:val="68060B44"/>
    <w:lvl w:ilvl="0" w:tplc="6652D21E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C121BD9"/>
    <w:multiLevelType w:val="hybridMultilevel"/>
    <w:tmpl w:val="B9684BC2"/>
    <w:lvl w:ilvl="0" w:tplc="A3FCAE28">
      <w:start w:val="1"/>
      <w:numFmt w:val="decimal"/>
      <w:suff w:val="nothing"/>
      <w:lvlText w:val="%1."/>
      <w:lvlJc w:val="left"/>
      <w:pPr>
        <w:ind w:left="397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7B63A50"/>
    <w:multiLevelType w:val="hybridMultilevel"/>
    <w:tmpl w:val="7FD2FDCA"/>
    <w:lvl w:ilvl="0" w:tplc="E2E06664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B0F62BB"/>
    <w:multiLevelType w:val="hybridMultilevel"/>
    <w:tmpl w:val="B59EE7FA"/>
    <w:lvl w:ilvl="0" w:tplc="3E2EC414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1D436D4"/>
    <w:multiLevelType w:val="hybridMultilevel"/>
    <w:tmpl w:val="396C3C32"/>
    <w:lvl w:ilvl="0" w:tplc="B1F2483C">
      <w:start w:val="3801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55265"/>
    <w:multiLevelType w:val="hybridMultilevel"/>
    <w:tmpl w:val="4B6CC2D6"/>
    <w:lvl w:ilvl="0" w:tplc="9CB43EDE">
      <w:start w:val="2699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36A09"/>
    <w:multiLevelType w:val="multilevel"/>
    <w:tmpl w:val="82407AB8"/>
    <w:lvl w:ilvl="0">
      <w:start w:val="1681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D1481"/>
    <w:multiLevelType w:val="hybridMultilevel"/>
    <w:tmpl w:val="B122E3F2"/>
    <w:lvl w:ilvl="0" w:tplc="FA24ED06">
      <w:start w:val="1682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770"/>
    <w:multiLevelType w:val="hybridMultilevel"/>
    <w:tmpl w:val="7FDCAA54"/>
    <w:lvl w:ilvl="0" w:tplc="493C0530">
      <w:start w:val="274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C075C"/>
    <w:multiLevelType w:val="hybridMultilevel"/>
    <w:tmpl w:val="24F05796"/>
    <w:lvl w:ilvl="0" w:tplc="B922CD1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04DEA"/>
    <w:multiLevelType w:val="hybridMultilevel"/>
    <w:tmpl w:val="1A82465A"/>
    <w:lvl w:ilvl="0" w:tplc="A644020E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70C2F70"/>
    <w:multiLevelType w:val="hybridMultilevel"/>
    <w:tmpl w:val="364A0BBC"/>
    <w:lvl w:ilvl="0" w:tplc="ACE2F370">
      <w:start w:val="318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62A6A"/>
    <w:multiLevelType w:val="hybridMultilevel"/>
    <w:tmpl w:val="7AE04D90"/>
    <w:lvl w:ilvl="0" w:tplc="17F80D10">
      <w:start w:val="1"/>
      <w:numFmt w:val="decimal"/>
      <w:suff w:val="nothing"/>
      <w:lvlText w:val="%1."/>
      <w:lvlJc w:val="left"/>
      <w:pPr>
        <w:ind w:left="397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31C6A7C"/>
    <w:multiLevelType w:val="multilevel"/>
    <w:tmpl w:val="82407AB8"/>
    <w:lvl w:ilvl="0">
      <w:start w:val="1681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93404"/>
    <w:multiLevelType w:val="hybridMultilevel"/>
    <w:tmpl w:val="470AD010"/>
    <w:lvl w:ilvl="0" w:tplc="D89A0502">
      <w:start w:val="2286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A2C47"/>
    <w:multiLevelType w:val="multilevel"/>
    <w:tmpl w:val="D9786C56"/>
    <w:lvl w:ilvl="0">
      <w:start w:val="3181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348B5"/>
    <w:multiLevelType w:val="multilevel"/>
    <w:tmpl w:val="364A0BBC"/>
    <w:lvl w:ilvl="0">
      <w:start w:val="318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DC7E8D"/>
    <w:multiLevelType w:val="hybridMultilevel"/>
    <w:tmpl w:val="8D56995E"/>
    <w:lvl w:ilvl="0" w:tplc="8CD43378">
      <w:start w:val="1683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48BC"/>
    <w:multiLevelType w:val="hybridMultilevel"/>
    <w:tmpl w:val="1A82465A"/>
    <w:lvl w:ilvl="0" w:tplc="A644020E">
      <w:start w:val="1"/>
      <w:numFmt w:val="decimal"/>
      <w:suff w:val="nothing"/>
      <w:lvlText w:val="%1."/>
      <w:lvlJc w:val="left"/>
      <w:pPr>
        <w:ind w:left="568" w:firstLine="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1"/>
  </w:num>
  <w:num w:numId="3">
    <w:abstractNumId w:val="24"/>
  </w:num>
  <w:num w:numId="4">
    <w:abstractNumId w:val="14"/>
  </w:num>
  <w:num w:numId="5">
    <w:abstractNumId w:val="21"/>
  </w:num>
  <w:num w:numId="6">
    <w:abstractNumId w:val="20"/>
  </w:num>
  <w:num w:numId="7">
    <w:abstractNumId w:val="13"/>
  </w:num>
  <w:num w:numId="8">
    <w:abstractNumId w:val="2"/>
  </w:num>
  <w:num w:numId="9">
    <w:abstractNumId w:val="12"/>
  </w:num>
  <w:num w:numId="10">
    <w:abstractNumId w:val="0"/>
  </w:num>
  <w:num w:numId="11">
    <w:abstractNumId w:val="15"/>
  </w:num>
  <w:num w:numId="12">
    <w:abstractNumId w:val="18"/>
  </w:num>
  <w:num w:numId="13">
    <w:abstractNumId w:val="22"/>
  </w:num>
  <w:num w:numId="14">
    <w:abstractNumId w:val="23"/>
  </w:num>
  <w:num w:numId="15">
    <w:abstractNumId w:val="5"/>
  </w:num>
  <w:num w:numId="16">
    <w:abstractNumId w:val="3"/>
  </w:num>
  <w:num w:numId="17">
    <w:abstractNumId w:val="11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7A"/>
    <w:rsid w:val="00034B32"/>
    <w:rsid w:val="00057FD1"/>
    <w:rsid w:val="00061CF5"/>
    <w:rsid w:val="000A691F"/>
    <w:rsid w:val="000B03AD"/>
    <w:rsid w:val="0013138F"/>
    <w:rsid w:val="001347D9"/>
    <w:rsid w:val="001475F2"/>
    <w:rsid w:val="001B2F45"/>
    <w:rsid w:val="001C2F51"/>
    <w:rsid w:val="00201BDA"/>
    <w:rsid w:val="00215EE9"/>
    <w:rsid w:val="00240965"/>
    <w:rsid w:val="002674EF"/>
    <w:rsid w:val="00285D8A"/>
    <w:rsid w:val="0029526A"/>
    <w:rsid w:val="002B52A5"/>
    <w:rsid w:val="003019ED"/>
    <w:rsid w:val="00310899"/>
    <w:rsid w:val="00311AD7"/>
    <w:rsid w:val="00317E19"/>
    <w:rsid w:val="00317F12"/>
    <w:rsid w:val="003558F9"/>
    <w:rsid w:val="00362058"/>
    <w:rsid w:val="00373DB2"/>
    <w:rsid w:val="003855EC"/>
    <w:rsid w:val="00395D6E"/>
    <w:rsid w:val="003D0EB7"/>
    <w:rsid w:val="004228FD"/>
    <w:rsid w:val="00425B86"/>
    <w:rsid w:val="00442E9F"/>
    <w:rsid w:val="00484EA9"/>
    <w:rsid w:val="00497047"/>
    <w:rsid w:val="004C1466"/>
    <w:rsid w:val="004E6B19"/>
    <w:rsid w:val="004F77C2"/>
    <w:rsid w:val="00556B4A"/>
    <w:rsid w:val="005827F4"/>
    <w:rsid w:val="00593607"/>
    <w:rsid w:val="0060258F"/>
    <w:rsid w:val="00614400"/>
    <w:rsid w:val="0063207A"/>
    <w:rsid w:val="00633254"/>
    <w:rsid w:val="006A1F34"/>
    <w:rsid w:val="006B5C72"/>
    <w:rsid w:val="006D1CEB"/>
    <w:rsid w:val="006F79AE"/>
    <w:rsid w:val="00714143"/>
    <w:rsid w:val="00731148"/>
    <w:rsid w:val="00746608"/>
    <w:rsid w:val="00751087"/>
    <w:rsid w:val="007612E0"/>
    <w:rsid w:val="00785467"/>
    <w:rsid w:val="007970A7"/>
    <w:rsid w:val="007A0184"/>
    <w:rsid w:val="007C01D8"/>
    <w:rsid w:val="00853ABB"/>
    <w:rsid w:val="00887E3E"/>
    <w:rsid w:val="00906D12"/>
    <w:rsid w:val="00921E3B"/>
    <w:rsid w:val="00942F64"/>
    <w:rsid w:val="009457D8"/>
    <w:rsid w:val="009468B4"/>
    <w:rsid w:val="00972EEC"/>
    <w:rsid w:val="009B6726"/>
    <w:rsid w:val="009D3135"/>
    <w:rsid w:val="009F5BB7"/>
    <w:rsid w:val="00A22499"/>
    <w:rsid w:val="00A338C3"/>
    <w:rsid w:val="00A5324F"/>
    <w:rsid w:val="00A63058"/>
    <w:rsid w:val="00A67541"/>
    <w:rsid w:val="00A8379A"/>
    <w:rsid w:val="00AF79AB"/>
    <w:rsid w:val="00B4020F"/>
    <w:rsid w:val="00B52F6A"/>
    <w:rsid w:val="00B562A2"/>
    <w:rsid w:val="00B9049A"/>
    <w:rsid w:val="00BD44FC"/>
    <w:rsid w:val="00BE642A"/>
    <w:rsid w:val="00C27A66"/>
    <w:rsid w:val="00C36501"/>
    <w:rsid w:val="00C40173"/>
    <w:rsid w:val="00C501BC"/>
    <w:rsid w:val="00C534D8"/>
    <w:rsid w:val="00C8479C"/>
    <w:rsid w:val="00C971F9"/>
    <w:rsid w:val="00C97285"/>
    <w:rsid w:val="00CC0D81"/>
    <w:rsid w:val="00CF748D"/>
    <w:rsid w:val="00D0037B"/>
    <w:rsid w:val="00D037D8"/>
    <w:rsid w:val="00D161B5"/>
    <w:rsid w:val="00D30F6C"/>
    <w:rsid w:val="00D51AB0"/>
    <w:rsid w:val="00D530DE"/>
    <w:rsid w:val="00D5337C"/>
    <w:rsid w:val="00D716D6"/>
    <w:rsid w:val="00D82BD5"/>
    <w:rsid w:val="00D82C1E"/>
    <w:rsid w:val="00D9110D"/>
    <w:rsid w:val="00D94913"/>
    <w:rsid w:val="00DC40C0"/>
    <w:rsid w:val="00DE0940"/>
    <w:rsid w:val="00DE5FBC"/>
    <w:rsid w:val="00E2760D"/>
    <w:rsid w:val="00E33AD7"/>
    <w:rsid w:val="00E37AA4"/>
    <w:rsid w:val="00E43893"/>
    <w:rsid w:val="00E50708"/>
    <w:rsid w:val="00E956E9"/>
    <w:rsid w:val="00EB0D26"/>
    <w:rsid w:val="00EB78A3"/>
    <w:rsid w:val="00EE3470"/>
    <w:rsid w:val="00F219E2"/>
    <w:rsid w:val="00F21DB4"/>
    <w:rsid w:val="00F25C3B"/>
    <w:rsid w:val="00F37507"/>
    <w:rsid w:val="00F467C8"/>
    <w:rsid w:val="00F5238D"/>
    <w:rsid w:val="00F5688A"/>
    <w:rsid w:val="00F8027A"/>
    <w:rsid w:val="00F976ED"/>
    <w:rsid w:val="00F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AE6D"/>
  <w15:chartTrackingRefBased/>
  <w15:docId w15:val="{63A7DFCF-8C32-4018-819C-EB61105A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D1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0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D12"/>
    <w:rPr>
      <w:rFonts w:ascii="Calibri" w:eastAsia="Calibri" w:hAnsi="Calibri" w:cs="Times New Roman"/>
    </w:rPr>
  </w:style>
  <w:style w:type="character" w:styleId="a8">
    <w:name w:val="page number"/>
    <w:basedOn w:val="a0"/>
    <w:rsid w:val="00310899"/>
  </w:style>
  <w:style w:type="paragraph" w:styleId="a9">
    <w:name w:val="footnote text"/>
    <w:basedOn w:val="a"/>
    <w:link w:val="aa"/>
    <w:uiPriority w:val="99"/>
    <w:semiHidden/>
    <w:unhideWhenUsed/>
    <w:rsid w:val="00061CF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1CF5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061C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БуторинЪ</dc:creator>
  <cp:keywords/>
  <cp:lastModifiedBy>Николай</cp:lastModifiedBy>
  <cp:revision>26</cp:revision>
  <cp:lastPrinted>2026-01-15T07:37:00Z</cp:lastPrinted>
  <dcterms:created xsi:type="dcterms:W3CDTF">2019-05-14T11:45:00Z</dcterms:created>
  <dcterms:modified xsi:type="dcterms:W3CDTF">2026-01-26T16:59:00Z</dcterms:modified>
</cp:coreProperties>
</file>